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59FAC" w14:textId="222149DD" w:rsidR="00E317F9" w:rsidRDefault="00E317F9" w:rsidP="00E317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KOMUNIKAT</w:t>
      </w:r>
    </w:p>
    <w:p w14:paraId="721B666B" w14:textId="77777777" w:rsidR="00E317F9" w:rsidRPr="00E317F9" w:rsidRDefault="00E317F9" w:rsidP="00E317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32AE385F" w14:textId="72B29D9E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ARiMR publikuje zaktualizowany harmonogram naborów wniosków o przyznanie pomocy w 2024 r. w ramach Planu Strategicznego dla Wspólnej Polityki Rolnej na lata 2023-2027 (PS WPR).</w:t>
      </w:r>
    </w:p>
    <w:p w14:paraId="60B54FEE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Obecnie prowadzone są nabory wniosków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ramach interwencji: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I.1.1 Płatność dla małych gospodarstw, I.4.7 Ekoschemat – Grunty wyłączone z produkcji, I.7.1-7.6 Interwencje sektorowe 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softHyphen/>
        <w:t xml:space="preserve">– owoce i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warzywa, I.10.3 Inwestycje zapobiegające rozprzestrzenianiu się ASF, I.11 Premie dla młodych rolników oraz I.8.10 i I.10.11-I.10.14 - interwencje leśne.</w:t>
      </w:r>
    </w:p>
    <w:p w14:paraId="26C838E0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 1 marca 2024 r.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uruchomione zostały trzy nabory wniosków w ramach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instrumentów finansowych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, w których wsparcie jest udzielane w formie bezpłatnych gwarancji oraz dotacji na spłatę odsetek do kredytów komercyjnych. Pomoc udzielana jest przez Bank Gospodarstwa Krajowego. ARiMR nie prowadzi naborów wniosków w tym zakresie.</w:t>
      </w:r>
    </w:p>
    <w:p w14:paraId="6A3AB3ED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Nabory wniosków planowane do końca 2024 roku</w:t>
      </w:r>
    </w:p>
    <w:p w14:paraId="69158108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Jeszcze w 2024 roku w ramach PS WPR zostanie uruchomionych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17 </w:t>
      </w: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naborów wniosków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w tym cztery nabory dotyczące interwencji inwestycyjnych lub ograniczających ryzyko prowadzenia działalności: </w:t>
      </w:r>
    </w:p>
    <w:p w14:paraId="79040C5C" w14:textId="77777777" w:rsidR="00E317F9" w:rsidRPr="00E317F9" w:rsidRDefault="00E317F9" w:rsidP="00E31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I.10.4 Inwestycje przyczyniające się do ochrony środowiska i klimatu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wnioskodawcy będą mogli ubiegać się o wsparcie m.in. na zakup maszyn, urządzeń wpływających na poprawę ochrony środowiska i klimatu np. opryskiwacze, rozsiewacze, maszyny do uprawy bezorkowej, siatki przeciwgradowe, zbiorniki do retencji wody. </w:t>
      </w:r>
    </w:p>
    <w:p w14:paraId="2B5B1A50" w14:textId="77777777" w:rsidR="00E317F9" w:rsidRPr="00E317F9" w:rsidRDefault="00E317F9" w:rsidP="00E31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I. 10.1.1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Inwestycje w gospodarstwach rolnych zwiększające konkurencyjność (dotacje)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obszarach: </w:t>
      </w:r>
    </w:p>
    <w:p w14:paraId="610D3053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wsparcie operacji dotyczących produkcji ekologicznej w gospodarstwach ekologicznych – wnioskodawcy  będą mogli  ubiegać się  o wsparcie  na budowę lub modernizację budynków, zastosowanie rozwiązań rolnictwa precyzyjnego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budynkach, zapewnienie wybiegów oraz pastwisk dla zwierząt, zakup sprzętu do przygotowywania, przechowywania, czyszczenia, sortowania, kalibrowania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konfekcjonowania produktów rolnych, zakup lub leasing maszyn i urządzeń oraz budowę i zakup elementów infrastruktury technicznej wpływającej bezpośrednio na warunki prowadzenia działalności rolniczej.</w:t>
      </w:r>
    </w:p>
    <w:p w14:paraId="5203C202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wsparcie operacji dotyczących bezpiecznego dla konsumenta i efektywnego przedłużania trwałości produktów, przechowalnictwa oraz lepszego przygotowania do sprzedaży (w tym bezpośredniej) – wnioskodawcy będą mogli ubiegać się o wsparcie na budowę lub modernizację budynków,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zakup sprzętu do przygotowywania, przechowywania, czyszczenia, sortowania, kalibrowania, konfekcjonowania produktów rolnych.</w:t>
      </w:r>
    </w:p>
    <w:p w14:paraId="7536A91B" w14:textId="77777777" w:rsidR="00E317F9" w:rsidRPr="00E317F9" w:rsidRDefault="00E317F9" w:rsidP="00E31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I.10.5 Rozwój małych gospodarstw w obszarach: </w:t>
      </w:r>
    </w:p>
    <w:p w14:paraId="4D025D9B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produkcji ekologicznej lub produkcji i przygotowania do sprzedaży produktów rolnych wytwarzanych w gospodarstwie metodami ekologicznymi, lub</w:t>
      </w:r>
    </w:p>
    <w:p w14:paraId="6ECDD341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rozpoczynania działalności w zakresie wprowadzania żywności na rynek w ramach krótkich łańcuchów dostaw (rolniczy handel detaliczny, sprzedaż bezpośrednia, dostawy bezpośrednie) </w:t>
      </w:r>
    </w:p>
    <w:p w14:paraId="692E5D8C" w14:textId="77777777" w:rsidR="00E317F9" w:rsidRPr="00E317F9" w:rsidRDefault="00E317F9" w:rsidP="00E317F9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– wnioskodawcy będą mogli ubiegać się o wsparcie na inwestycje budowlane, wyposażenie budynków lub budowli, zakup maszyn i urządzeń.</w:t>
      </w:r>
    </w:p>
    <w:p w14:paraId="32C7A44B" w14:textId="77777777" w:rsidR="00E317F9" w:rsidRPr="00E317F9" w:rsidRDefault="00E317F9" w:rsidP="00E317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I.12.1 Dopłaty do składek ubezpieczenia zwierząt gospodarskich –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pomoc przyznawana będzie w wysokości 70% kwoty składki z tytułu ubezpieczenia prowadzonej działalności rolniczej w zakresie produkcji zwierząt. </w:t>
      </w:r>
    </w:p>
    <w:p w14:paraId="2FF6A252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Zmiany w harmonogramie na 2024 r.</w:t>
      </w:r>
    </w:p>
    <w:p w14:paraId="23BDEBCC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28 czerwca br. Polska uzyskała zgodę Komisji Europejskiej na uruchomienie </w:t>
      </w: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dodatkowych środków w ramach PROW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2014-2020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. Dodatkowe środki pozwolą sfinansować:</w:t>
      </w:r>
    </w:p>
    <w:p w14:paraId="480BB9F1" w14:textId="77777777" w:rsidR="00E317F9" w:rsidRPr="00E317F9" w:rsidRDefault="00E317F9" w:rsidP="00E317F9">
      <w:pPr>
        <w:numPr>
          <w:ilvl w:val="0"/>
          <w:numId w:val="3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około 6 000 wniosków z obszaru D dotyczącego zakupu maszyn w ramach operacji typu Modernizacja gospodarstw rolnych. </w:t>
      </w:r>
    </w:p>
    <w:p w14:paraId="04E91B4F" w14:textId="77777777" w:rsidR="00E317F9" w:rsidRPr="00E317F9" w:rsidRDefault="00E317F9" w:rsidP="00E317F9">
      <w:pPr>
        <w:numPr>
          <w:ilvl w:val="0"/>
          <w:numId w:val="3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ponad 1 000 dodatkowych wniosków w ramach Inwestycji mających na celu ochronę wód przed zanieczyszczeniem azotanami pochodzącymi ze źródeł rolniczych. </w:t>
      </w:r>
    </w:p>
    <w:p w14:paraId="7DC9677C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Mając na uwadze:</w:t>
      </w:r>
    </w:p>
    <w:p w14:paraId="3293EC52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usprawnienia obsługi wniosków złożonych w ramach PROW 2014-2020, KPO oraz PS WPR,</w:t>
      </w:r>
    </w:p>
    <w:p w14:paraId="6FDDCB65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zbieżność zakresu wsparcia w obszarach A w interwencji 10.1.1 ze wsparciem udzielanym w ramach Rolnictwa 4.0 KPO,</w:t>
      </w:r>
    </w:p>
    <w:p w14:paraId="2AD0D814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umożliwienie rolnikom lepszego przygotowania wniosków na nowe interwencje, poprzez bardziej równomierne rozłożenie terminów naborów oraz</w:t>
      </w:r>
    </w:p>
    <w:p w14:paraId="28FE50CF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łatwiejszy dostęp rolników do doradców ODR,</w:t>
      </w:r>
    </w:p>
    <w:p w14:paraId="3F6ECB00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podjęto decyzję o przesunięciu z 2024 rok na 2025 rok naborów w ramach poniższych interwencji PS WPR 2023-2027:</w:t>
      </w:r>
    </w:p>
    <w:p w14:paraId="186E8283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I.10.1.1 Inwestycje w gospodarstwach rolnych zwiększające konkurencyjność (dotacja) obszar A, </w:t>
      </w:r>
    </w:p>
    <w:p w14:paraId="6291A851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I.10.10.1 Infrastruktura na obszarach wiejskich – przydomowe oczyszczalnie,</w:t>
      </w:r>
    </w:p>
    <w:p w14:paraId="08F30545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I.10.15 Inwestycje poprawiające dobrostan bydła i świń,</w:t>
      </w:r>
    </w:p>
    <w:p w14:paraId="6E1DD35F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I.13.5.1 Współpraca Grup Operacyjnych EPI - Wsparcie przygotowawcze,</w:t>
      </w:r>
    </w:p>
    <w:p w14:paraId="0942E345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I.14.1.2 Doskonalenie zawodowe rolników, moduł 2 Szkolenia profilowane dla rolników,</w:t>
      </w:r>
    </w:p>
    <w:p w14:paraId="66157600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I.14.3.2 Doskonalenie zawodowe kadr doradczych, moduł 3 Studia podyplomowe,</w:t>
      </w:r>
    </w:p>
    <w:p w14:paraId="605CD715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I.14.3.3 Doskonalenie zawodowe kadr doradczych, moduł 4 Mentoring,</w:t>
      </w:r>
    </w:p>
    <w:p w14:paraId="64B42ED9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I.14.3.5 Doskonalenie zawodowe kadr doradczych, moduł 2 Szkolenia profilowane.</w:t>
      </w:r>
    </w:p>
    <w:p w14:paraId="6F761C16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Inne nabory planowane w 2025 r.</w:t>
      </w:r>
    </w:p>
    <w:p w14:paraId="21206F5B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Oprócz ww. przesuniętych naborów, w 2025 r. planuje się przeprowadzenie naborów wniosków m.in. w ramach interwencji:</w:t>
      </w:r>
    </w:p>
    <w:p w14:paraId="745CB72B" w14:textId="77777777" w:rsidR="00E317F9" w:rsidRPr="00E317F9" w:rsidRDefault="00E317F9" w:rsidP="00E317F9">
      <w:pPr>
        <w:numPr>
          <w:ilvl w:val="0"/>
          <w:numId w:val="6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I.10.1.1 Inwestycje w gospodarstwach rolnych zwiększające konkurencyjność (dotacja) obszar D, </w:t>
      </w:r>
    </w:p>
    <w:p w14:paraId="23EBE6E8" w14:textId="77777777" w:rsidR="00E317F9" w:rsidRPr="00E317F9" w:rsidRDefault="00E317F9" w:rsidP="00E317F9">
      <w:pPr>
        <w:numPr>
          <w:ilvl w:val="0"/>
          <w:numId w:val="6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I.13.5.2 Współpraca Grup Operacyjnych EPI - Realizacja operacji EPI, </w:t>
      </w:r>
    </w:p>
    <w:p w14:paraId="2C06168B" w14:textId="77777777" w:rsidR="00E317F9" w:rsidRPr="00E317F9" w:rsidRDefault="00E317F9" w:rsidP="00E317F9">
      <w:pPr>
        <w:numPr>
          <w:ilvl w:val="0"/>
          <w:numId w:val="6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I.10.2 Inwestycje w gospodarstwach rolnych w zakresie OZE i poprawy efektywności energetycznej.</w:t>
      </w:r>
    </w:p>
    <w:p w14:paraId="009B982F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Planowane terminy uruchomienia naborów w 2025 roku zostaną opublikowane do końca bieżącego roku.</w:t>
      </w:r>
    </w:p>
    <w:p w14:paraId="6C29F3B3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Kampania 2024 – wnioski obszarowe</w:t>
      </w:r>
    </w:p>
    <w:p w14:paraId="207715D0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harmonogramie wprowadzone zostały również zmiany w zakresie </w:t>
      </w: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płatności bezpośrednich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przejściowego wsparcia krajowego oraz działań obszarowych,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mające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charakter porządkujący.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związku z uruchomieniem nowych interwencji w harmonogramie zostały zaktualizowane orientacyjne limity środków finansowych przeznaczonych na realizację płatności. </w:t>
      </w:r>
    </w:p>
    <w:p w14:paraId="138C8E47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ARiMR przypomina, że bezsankcyjny termin na złożenie deklaracji upłynął 1 lipca. Nabór w ramach kampanii potrwa jeszcze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26 lipca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ale za każdy dzień roboczy opóźnienia kwota płatności będzie pomniejszana o 1 proc. Natomiast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2 września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ubiegający się o dopłaty mogą się starać o wsparcie w ramach dwóch nowych interwencji: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1.1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Płatność dla małych gospodarstw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4.7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Ekoschemat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Grunty wyłączone z produkcji.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9BA940C" w14:textId="5B9A8C41" w:rsidR="00FE19AC" w:rsidRDefault="00E317F9">
      <w:r>
        <w:t xml:space="preserve">Więcej informacji - </w:t>
      </w:r>
      <w:hyperlink r:id="rId8" w:history="1">
        <w:r w:rsidRPr="006150EC">
          <w:rPr>
            <w:rStyle w:val="Hipercze"/>
          </w:rPr>
          <w:t>https://www.gov.pl/web/arimr/harmonogram-naborow-wnioskow-o-przyznanie-pomocy-w-2024-r-w-ramach-planu-strategicznego-dla-wspolnej-polityki-rolnej-na-lata-2023-2027</w:t>
        </w:r>
      </w:hyperlink>
    </w:p>
    <w:p w14:paraId="64614683" w14:textId="77777777" w:rsidR="00E317F9" w:rsidRDefault="00E317F9"/>
    <w:sectPr w:rsidR="00E317F9" w:rsidSect="00E317F9">
      <w:headerReference w:type="default" r:id="rId9"/>
      <w:pgSz w:w="11906" w:h="16838"/>
      <w:pgMar w:top="1417" w:right="1417" w:bottom="1417" w:left="1417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9B01F" w14:textId="77777777" w:rsidR="00E317F9" w:rsidRDefault="00E317F9" w:rsidP="00E317F9">
      <w:pPr>
        <w:spacing w:after="0" w:line="240" w:lineRule="auto"/>
      </w:pPr>
      <w:r>
        <w:separator/>
      </w:r>
    </w:p>
  </w:endnote>
  <w:endnote w:type="continuationSeparator" w:id="0">
    <w:p w14:paraId="5E3678FD" w14:textId="77777777" w:rsidR="00E317F9" w:rsidRDefault="00E317F9" w:rsidP="00E31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E63E7" w14:textId="77777777" w:rsidR="00E317F9" w:rsidRDefault="00E317F9" w:rsidP="00E317F9">
      <w:pPr>
        <w:spacing w:after="0" w:line="240" w:lineRule="auto"/>
      </w:pPr>
      <w:r>
        <w:separator/>
      </w:r>
    </w:p>
  </w:footnote>
  <w:footnote w:type="continuationSeparator" w:id="0">
    <w:p w14:paraId="453FD740" w14:textId="77777777" w:rsidR="00E317F9" w:rsidRDefault="00E317F9" w:rsidP="00E31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848A" w14:textId="2CC1CEA5" w:rsidR="00E317F9" w:rsidRDefault="00E317F9" w:rsidP="00E317F9">
    <w:pPr>
      <w:pStyle w:val="Nagwek"/>
    </w:pPr>
    <w:r>
      <w:rPr>
        <w:noProof/>
      </w:rPr>
      <w:drawing>
        <wp:inline distT="0" distB="0" distL="0" distR="0" wp14:anchorId="355C82F2" wp14:editId="6E81A3B6">
          <wp:extent cx="1640061" cy="566420"/>
          <wp:effectExtent l="0" t="0" r="0" b="5080"/>
          <wp:docPr id="7" name="Obraz 7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881" cy="570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</w:t>
    </w:r>
    <w:r>
      <w:rPr>
        <w:noProof/>
      </w:rPr>
      <w:drawing>
        <wp:inline distT="0" distB="0" distL="0" distR="0" wp14:anchorId="710E4DC8" wp14:editId="4CCADBFB">
          <wp:extent cx="1639570" cy="691828"/>
          <wp:effectExtent l="0" t="0" r="0" b="0"/>
          <wp:docPr id="8" name="Obraz 8" descr="Obraz zawierający tekst, Czcionka, logo, wizytów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wizytów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529" cy="702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471683" w14:textId="0C378652" w:rsidR="00E317F9" w:rsidRDefault="00E317F9" w:rsidP="00E317F9">
    <w:pPr>
      <w:pStyle w:val="Nagwek"/>
      <w:jc w:val="right"/>
    </w:pPr>
  </w:p>
  <w:p w14:paraId="4928AC63" w14:textId="77777777" w:rsidR="00E317F9" w:rsidRDefault="00E317F9" w:rsidP="00E317F9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66E14"/>
    <w:multiLevelType w:val="multilevel"/>
    <w:tmpl w:val="96D2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501280"/>
    <w:multiLevelType w:val="multilevel"/>
    <w:tmpl w:val="D480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106A1"/>
    <w:multiLevelType w:val="multilevel"/>
    <w:tmpl w:val="086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A573E"/>
    <w:multiLevelType w:val="multilevel"/>
    <w:tmpl w:val="65F2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E176FD"/>
    <w:multiLevelType w:val="multilevel"/>
    <w:tmpl w:val="5482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155E9B"/>
    <w:multiLevelType w:val="multilevel"/>
    <w:tmpl w:val="3524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F9"/>
    <w:rsid w:val="009000A4"/>
    <w:rsid w:val="00A55D96"/>
    <w:rsid w:val="00E317F9"/>
    <w:rsid w:val="00FE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6B9B4"/>
  <w15:chartTrackingRefBased/>
  <w15:docId w15:val="{0FE13FD4-68F4-47B4-8D64-09EE9559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1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17F9"/>
  </w:style>
  <w:style w:type="paragraph" w:styleId="Stopka">
    <w:name w:val="footer"/>
    <w:basedOn w:val="Normalny"/>
    <w:link w:val="StopkaZnak"/>
    <w:uiPriority w:val="99"/>
    <w:unhideWhenUsed/>
    <w:rsid w:val="00E31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17F9"/>
  </w:style>
  <w:style w:type="character" w:styleId="Hipercze">
    <w:name w:val="Hyperlink"/>
    <w:basedOn w:val="Domylnaczcionkaakapitu"/>
    <w:uiPriority w:val="99"/>
    <w:unhideWhenUsed/>
    <w:rsid w:val="00E317F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1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arimr/harmonogram-naborow-wnioskow-o-przyznanie-pomocy-w-2024-r-w-ramach-planu-strategicznego-dla-wspolnej-polityki-rolnej-na-lata-2023-202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B5755AD4-1924-4372-95E8-BD16725D7A9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920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Galińska Monika</dc:creator>
  <cp:keywords/>
  <dc:description/>
  <cp:lastModifiedBy>Galińska Monika</cp:lastModifiedBy>
  <cp:revision>1</cp:revision>
  <dcterms:created xsi:type="dcterms:W3CDTF">2024-07-19T06:45:00Z</dcterms:created>
  <dcterms:modified xsi:type="dcterms:W3CDTF">2024-07-19T06:59:00Z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a123b17c-42fb-4011-a9d7-b7236f6c50cc</vt:lpwstr>
  </property>
  <property fmtid="{D5CDD505-2E9C-101B-9397-08002B2CF9AE}" pid="3" name="bjClsUserRVM">
    <vt:lpwstr>[]</vt:lpwstr>
  </property>
  <property fmtid="{D5CDD505-2E9C-101B-9397-08002B2CF9AE}" pid="4" name="bjSaver">
    <vt:lpwstr>kXZEf+0byLOMiQoe0iUT+J86vodHPgp6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</Properties>
</file>